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2937"/>
          <w:sz w:val="44"/>
          <w:szCs w:val="44"/>
        </w:rPr>
        <w:t xml:space="preserve">Nota metodológica</w:t>
      </w:r>
    </w:p>
    <w:p>
      <w:pPr>
        <w:spacing w:after="160"/>
      </w:pPr>
      <w:r>
        <w:rPr>
          <w:rFonts w:ascii="Calibri" w:cs="Calibri" w:eastAsia="Calibri" w:hAnsi="Calibri"/>
          <w:color w:val="4F46E5"/>
          <w:sz w:val="28"/>
          <w:szCs w:val="28"/>
        </w:rPr>
        <w:t xml:space="preserve">Ley de Ohm interactiva · Guía de proyecto 18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6726"/>
      </w:tblGrid>
      <w:tr>
        <w:trPr>
          <w:tblHeader/>
        </w:trPr>
        <w:tc>
          <w:tcPr>
            <w:tcW w:type="dxa" w:w="2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0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Dato</w:t>
            </w:r>
          </w:p>
        </w:tc>
        <w:tc>
          <w:tcPr>
            <w:tcW w:type="dxa" w:w="672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0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Detalle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Curso</w:t>
            </w:r>
          </w:p>
        </w:tc>
        <w:tc>
          <w:tcPr>
            <w:tcW w:type="dxa" w:w="672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Vibe Coding for Research and Education · CEDIA 2026 · Módulo 5, lección R5.3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Subgrupo</w:t>
            </w:r>
          </w:p>
        </w:tc>
        <w:tc>
          <w:tcPr>
            <w:tcW w:type="dxa" w:w="672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Jonnathan Ismael Chamba Cruz (UTE, VC-2026-007) y Alexis Polibio Gaona Albito (UTPL, VC-2026-032)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Fecha de redacción</w:t>
            </w:r>
          </w:p>
        </w:tc>
        <w:tc>
          <w:tcPr>
            <w:tcW w:type="dxa" w:w="672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10 de octubre de 2026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Estado</w:t>
            </w:r>
          </w:p>
        </w:tc>
        <w:tc>
          <w:tcPr>
            <w:tcW w:type="dxa" w:w="672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Revisado y confirmado por Jonnathan Chamba el 10 de octubre de 2026, en nombre del subgrupo. Lo que aún no existe aparece como </w:t>
            </w:r>
            <w:r>
              <w:rPr>
                <w:rFonts w:ascii="Calibri" w:cs="Calibri" w:eastAsia="Calibri" w:hAnsi="Calibri"/>
                <w:b/>
                <w:bCs/>
                <w:color w:val="9A5B00"/>
                <w:sz w:val="19"/>
                <w:szCs w:val="19"/>
              </w:rPr>
              <w:t xml:space="preserve">PENDIENTE</w:t>
            </w: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.</w:t>
            </w:r>
          </w:p>
        </w:tc>
      </w:tr>
    </w:tbl>
    <w:p>
      <w:pPr>
        <w:spacing w:after="80"/>
      </w:pPr>
    </w:p>
    <w:p>
      <w:pPr>
        <w:pStyle w:val="Heading1"/>
        <w:spacing w:after="120" w:before="320"/>
      </w:pPr>
      <w:r>
        <w:rPr>
          <w:rFonts w:ascii="Calibri" w:cs="Calibri" w:eastAsia="Calibri" w:hAnsi="Calibri"/>
          <w:b/>
          <w:bCs/>
          <w:color w:val="4F46E5"/>
          <w:sz w:val="30"/>
          <w:szCs w:val="30"/>
        </w:rPr>
        <w:t xml:space="preserve">1. Propósito y límite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Qué hace.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 «Ley de Ohm interactiva» es una actividad de navegador, en un solo archivo HTML y en español e inglés, para estudiantes de Electrónica. La persona predice un valor numérico, mueve un único valor, pulsa Calcular, observa el resultado y explica con sus palabras qué cambió y por qué. El docente puede proyectarla en el aula o importarla como paquete SCORM 1.2 en un LMS.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Hasta dónde llega.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 Modela un circuito de corriente continua con una batería ideal y una sola resistencia, con las relaciones R = E/I, I = E/R y E = I × R. Rangos admitidos: voltaje E de 0 a 24 V, corriente I de 0 a 24 A y resistencia R de 1 a 1000 Ω.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Lo que no hace.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 No trata potencia, caídas de tensión en varios elementos, leyes de Kirchhoff, impedancia ni corriente alterna. No guarda datos personales de estudiantes. No evalúa ni certifica aprendizaje.</w:t>
      </w:r>
    </w:p>
    <w:p>
      <w:pPr>
        <w:pStyle w:val="Heading1"/>
        <w:spacing w:after="120" w:before="320"/>
      </w:pPr>
      <w:r>
        <w:rPr>
          <w:rFonts w:ascii="Calibri" w:cs="Calibri" w:eastAsia="Calibri" w:hAnsi="Calibri"/>
          <w:b/>
          <w:bCs/>
          <w:color w:val="4F46E5"/>
          <w:sz w:val="30"/>
          <w:szCs w:val="30"/>
        </w:rPr>
        <w:t xml:space="preserve">2. Recorrido revisable</w:t>
      </w:r>
    </w:p>
    <w:p>
      <w:pPr>
        <w:spacing w:after="120" w:line="276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Cada paso puede repetirse y comprobarse a mano.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7326"/>
      </w:tblGrid>
      <w:tr>
        <w:trPr>
          <w:tblHeader/>
        </w:trPr>
        <w:tc>
          <w:tcPr>
            <w:tcW w:type="dxa" w:w="1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0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Etapa</w:t>
            </w:r>
          </w:p>
        </w:tc>
        <w:tc>
          <w:tcPr>
            <w:tcW w:type="dxa" w:w="732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0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Qué ocurre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Entrada</w:t>
            </w:r>
          </w:p>
        </w:tc>
        <w:tc>
          <w:tcPr>
            <w:tcW w:type="dxa" w:w="732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La persona elige qué calcular (corriente, voltaje o resistencia) y qué valor mueve. Hay un punto de partida ya calculado; por ejemplo, E = 12 V, R = 6 Ω, I = 2 A. Después escribe una </w:t>
            </w:r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predicción numérica</w:t>
            </w: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. Hasta que la guarda, los controles de ajuste siguen bloqueados.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Regla aplicada</w:t>
            </w:r>
          </w:p>
        </w:tc>
        <w:tc>
          <w:tcPr>
            <w:tcW w:type="dxa" w:w="732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El código de la página aplica la fórmula de Ohm y valida los rangos y los datos no numéricos. </w:t>
            </w:r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La IA no calcula nada dentro de la actividad.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Resultado</w:t>
            </w:r>
          </w:p>
        </w:tc>
        <w:tc>
          <w:tcPr>
            <w:tcW w:type="dxa" w:w="732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Número con su unidad, fórmula con los valores, circuito dibujado, tabla que compara con el punto de partida, descripción en texto equivalente y retroalimentación que compara la predicción con el resultado del código y nombra la proporcionalidad (directa o inversa).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Evidencia</w:t>
            </w:r>
          </w:p>
        </w:tc>
        <w:tc>
          <w:tcPr>
            <w:tcW w:type="dxa" w:w="732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Tres ejemplos calculados a mano y coincidentes con el código: 12 V y 6 Ω dan 2 A; 5 V y 0,5 A dan 10 Ω; 0,2 A y 100 Ω dan 20 V. Ocho pruebas de código que la página repite al abrirse (8 de 8 se cumplen). Revisión de errores, de pantalla pequeña y de un registro SCORM simulado. En la demostración del video: con 12 V y R duplicada de 6 a 12 Ω, la corriente baja de 2 A a 1 A; se predijo 1,5 A y la actividad señala que no coincide.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Cierre y registro</w:t>
            </w:r>
          </w:p>
        </w:tc>
        <w:tc>
          <w:tcPr>
            <w:tcW w:type="dxa" w:w="732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La actividad cuenta como completada cuando hay predicción, acierto, explicación de al menos 20 caracteres y una pregunta de transferencia respondida correctamente. La puntuación suma 50 puntos por predecir bien al primer intento y 50 por la transferencia al primer intento. Las pruebas automáticas usaron una API SCORM simulada. Los autores informan que además probaron todo en un entorno real; </w:t>
            </w:r>
            <w:r>
              <w:rPr>
                <w:rFonts w:ascii="Calibri" w:cs="Calibri" w:eastAsia="Calibri" w:hAnsi="Calibri"/>
                <w:b/>
                <w:bCs/>
                <w:color w:val="9A5B00"/>
                <w:sz w:val="19"/>
                <w:szCs w:val="19"/>
              </w:rPr>
              <w:t xml:space="preserve">PENDIENTE</w:t>
            </w: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: anotar el LMS, la fecha y adjuntar una captura como evidencia.</w:t>
            </w:r>
          </w:p>
        </w:tc>
      </w:tr>
    </w:tbl>
    <w:p>
      <w:pPr>
        <w:pStyle w:val="Heading1"/>
        <w:spacing w:after="120" w:before="320"/>
      </w:pPr>
      <w:r>
        <w:rPr>
          <w:rFonts w:ascii="Calibri" w:cs="Calibri" w:eastAsia="Calibri" w:hAnsi="Calibri"/>
          <w:b/>
          <w:bCs/>
          <w:color w:val="4F46E5"/>
          <w:sz w:val="30"/>
          <w:szCs w:val="30"/>
        </w:rPr>
        <w:t xml:space="preserve">3. Aportes de la IA y de las personas</w:t>
      </w:r>
    </w:p>
    <w:p>
      <w:pPr>
        <w:spacing w:after="120" w:line="276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Cada intervención importante, con la herramienta, la tarea, la entrada, el producto y quién revisó. Lo que no se pudo confirmar se marca como pendiente.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50"/>
        <w:gridCol w:w="1250"/>
        <w:gridCol w:w="1500"/>
        <w:gridCol w:w="1500"/>
        <w:gridCol w:w="1500"/>
        <w:gridCol w:w="1626"/>
      </w:tblGrid>
      <w:tr>
        <w:trPr>
          <w:tblHeader/>
        </w:trPr>
        <w:tc>
          <w:tcPr>
            <w:tcW w:type="dxa" w:w="16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0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Intervención</w:t>
            </w:r>
          </w:p>
        </w:tc>
        <w:tc>
          <w:tcPr>
            <w:tcW w:type="dxa" w:w="12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0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Herramienta</w:t>
            </w:r>
          </w:p>
        </w:tc>
        <w:tc>
          <w:tcPr>
            <w:tcW w:type="dxa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0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Tarea</w:t>
            </w:r>
          </w:p>
        </w:tc>
        <w:tc>
          <w:tcPr>
            <w:tcW w:type="dxa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0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Entrada</w:t>
            </w:r>
          </w:p>
        </w:tc>
        <w:tc>
          <w:tcPr>
            <w:tcW w:type="dxa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0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Producto</w:t>
            </w:r>
          </w:p>
        </w:tc>
        <w:tc>
          <w:tcPr>
            <w:tcW w:type="dxa" w:w="162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0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Quién revisó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Definir tema y alcance</w:t>
            </w:r>
          </w:p>
        </w:tc>
        <w:tc>
          <w:tcPr>
            <w:tcW w:type="dxa" w:w="12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Personas</w:t>
            </w:r>
          </w:p>
        </w:tc>
        <w:tc>
          <w:tcPr>
            <w:tcW w:type="dxa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Elegir la guía 18 y el tema Ley de Ohm</w:t>
            </w:r>
          </w:p>
        </w:tc>
        <w:tc>
          <w:tcPr>
            <w:tcW w:type="dxa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Descripción de la guía y del curso</w:t>
            </w:r>
          </w:p>
        </w:tc>
        <w:tc>
          <w:tcPr>
            <w:tcW w:type="dxa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Alcance de la actividad</w:t>
            </w:r>
          </w:p>
        </w:tc>
        <w:tc>
          <w:tcPr>
            <w:tcW w:type="dxa" w:w="162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Jonnathan Chamba y Alexis Gaona, que participaron en la definición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Escribir la actividad</w:t>
            </w:r>
          </w:p>
        </w:tc>
        <w:tc>
          <w:tcPr>
            <w:tcW w:type="dxa" w:w="12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Claude (Anthropic)</w:t>
            </w:r>
          </w:p>
        </w:tc>
        <w:tc>
          <w:tcPr>
            <w:tcW w:type="dxa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Programar la página, el modelo, la accesibilidad y el empaquetado SCORM</w:t>
            </w:r>
          </w:p>
        </w:tc>
        <w:tc>
          <w:tcPr>
            <w:tcW w:type="dxa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Alcance y rangos definidos por los autores</w:t>
            </w:r>
          </w:p>
        </w:tc>
        <w:tc>
          <w:tcPr>
            <w:tcW w:type="dxa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index.html, paquete SCORM, modelo.md, ejemplos.csv, accesibilidad.md</w:t>
            </w:r>
          </w:p>
        </w:tc>
        <w:tc>
          <w:tcPr>
            <w:tcW w:type="dxa" w:w="162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Jonnathan Chamba y Alexis Gaona: dos revisiones humanas del proyecto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Probar el código</w:t>
            </w:r>
          </w:p>
        </w:tc>
        <w:tc>
          <w:tcPr>
            <w:tcW w:type="dxa" w:w="12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Claude con Playwright</w:t>
            </w:r>
          </w:p>
        </w:tc>
        <w:tc>
          <w:tcPr>
            <w:tcW w:type="dxa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Ejecutar pruebas de cálculo, errores, pantalla pequeña y registro simulado</w:t>
            </w:r>
          </w:p>
        </w:tc>
        <w:tc>
          <w:tcPr>
            <w:tcW w:type="dxa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Código de la página</w:t>
            </w:r>
          </w:p>
        </w:tc>
        <w:tc>
          <w:tcPr>
            <w:tcW w:type="dxa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Resultado 8 de 8 y capturas</w:t>
            </w:r>
          </w:p>
        </w:tc>
        <w:tc>
          <w:tcPr>
            <w:tcW w:type="dxa" w:w="162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Ejecución automática; los autores revisaron los resultados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Redactar el guion ES y EN</w:t>
            </w:r>
          </w:p>
        </w:tc>
        <w:tc>
          <w:tcPr>
            <w:tcW w:type="dxa" w:w="12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Claude</w:t>
            </w:r>
          </w:p>
        </w:tc>
        <w:tc>
          <w:tcPr>
            <w:tcW w:type="dxa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Escribir 10 textos por idioma con el presupuesto de palabras</w:t>
            </w:r>
          </w:p>
        </w:tc>
        <w:tc>
          <w:tcPr>
            <w:tcW w:type="dxa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Estructura oficial y datos de la actividad</w:t>
            </w:r>
          </w:p>
        </w:tc>
        <w:tc>
          <w:tcPr>
            <w:tcW w:type="dxa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Guion de 10 diapositivas, 628 palabras en ES y 713 en EN</w:t>
            </w:r>
          </w:p>
        </w:tc>
        <w:tc>
          <w:tcPr>
            <w:tcW w:type="dxa" w:w="162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Jonnathan Chamba escuchó las pistas y confirmó que sonaban bien; los autores revisaron el guion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Corregir la actividad (v1.1)</w:t>
            </w:r>
          </w:p>
        </w:tc>
        <w:tc>
          <w:tcPr>
            <w:tcW w:type="dxa" w:w="12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9A5B00"/>
                <w:sz w:val="19"/>
                <w:szCs w:val="19"/>
              </w:rPr>
              <w:t xml:space="preserve">PENDIENTE</w:t>
            </w: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: indicar la herramienta usada</w:t>
            </w:r>
          </w:p>
        </w:tc>
        <w:tc>
          <w:tcPr>
            <w:tcW w:type="dxa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Puntuar la predicción una sola vez; mantener el foco al cambiar de escenario</w:t>
            </w:r>
          </w:p>
        </w:tc>
        <w:tc>
          <w:tcPr>
            <w:tcW w:type="dxa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Versión anterior de la actividad</w:t>
            </w:r>
          </w:p>
        </w:tc>
        <w:tc>
          <w:tcPr>
            <w:tcW w:type="dxa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index.html y paquete SCORM, versión 1.1</w:t>
            </w:r>
          </w:p>
        </w:tc>
        <w:tc>
          <w:tcPr>
            <w:tcW w:type="dxa" w:w="162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Jonnathan Chamba entregó los archivos; Claude los comparó con la versión anterior y repitió las 8 pruebas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Armar las presentaciones</w:t>
            </w:r>
          </w:p>
        </w:tc>
        <w:tc>
          <w:tcPr>
            <w:tcW w:type="dxa" w:w="12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Claude con python-pptx y la plantilla del curso</w:t>
            </w:r>
          </w:p>
        </w:tc>
        <w:tc>
          <w:tcPr>
            <w:tcW w:type="dxa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Rellenar 10 diapositivas por idioma con las capturas reales</w:t>
            </w:r>
          </w:p>
        </w:tc>
        <w:tc>
          <w:tcPr>
            <w:tcW w:type="dxa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Guion y capturas de la actividad</w:t>
            </w:r>
          </w:p>
        </w:tc>
        <w:tc>
          <w:tcPr>
            <w:tcW w:type="dxa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Dos archivos .pptx</w:t>
            </w:r>
          </w:p>
        </w:tc>
        <w:tc>
          <w:tcPr>
            <w:tcW w:type="dxa" w:w="162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Jonnathan Chamba y Alexis Gaona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Narrar</w:t>
            </w:r>
          </w:p>
        </w:tc>
        <w:tc>
          <w:tcPr>
            <w:tcW w:type="dxa" w:w="12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ElevenLabs, voz Sarah, modelo Multilingual v2, manejada por Claude desde la cuenta docente de Jonnathan</w:t>
            </w:r>
          </w:p>
        </w:tc>
        <w:tc>
          <w:tcPr>
            <w:tcW w:type="dxa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Convertir los 20 textos en audio</w:t>
            </w:r>
          </w:p>
        </w:tc>
        <w:tc>
          <w:tcPr>
            <w:tcW w:type="dxa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Guion en ES y EN</w:t>
            </w:r>
          </w:p>
        </w:tc>
        <w:tc>
          <w:tcPr>
            <w:tcW w:type="dxa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20 pistas MP3</w:t>
            </w:r>
          </w:p>
        </w:tc>
        <w:tc>
          <w:tcPr>
            <w:tcW w:type="dxa" w:w="162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Jonnathan Chamba escuchó las pistas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Producir los videos</w:t>
            </w:r>
          </w:p>
        </w:tc>
        <w:tc>
          <w:tcPr>
            <w:tcW w:type="dxa" w:w="12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Claude con ffmpeg</w:t>
            </w:r>
          </w:p>
        </w:tc>
        <w:tc>
          <w:tcPr>
            <w:tcW w:type="dxa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Unir diapositivas y audio</w:t>
            </w:r>
          </w:p>
        </w:tc>
        <w:tc>
          <w:tcPr>
            <w:tcW w:type="dxa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Diapositivas en imagen y pistas MP3</w:t>
            </w:r>
          </w:p>
        </w:tc>
        <w:tc>
          <w:tcPr>
            <w:tcW w:type="dxa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Dos MP4 de 1920×1080</w:t>
            </w:r>
          </w:p>
        </w:tc>
        <w:tc>
          <w:tcPr>
            <w:tcW w:type="dxa" w:w="162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Los autores vieron ambos videos completos</w:t>
            </w:r>
          </w:p>
        </w:tc>
      </w:tr>
    </w:tbl>
    <w:p>
      <w:pPr>
        <w:pStyle w:val="Heading1"/>
        <w:spacing w:after="120" w:before="320"/>
      </w:pPr>
      <w:r>
        <w:rPr>
          <w:rFonts w:ascii="Calibri" w:cs="Calibri" w:eastAsia="Calibri" w:hAnsi="Calibri"/>
          <w:b/>
          <w:bCs/>
          <w:color w:val="4F46E5"/>
          <w:sz w:val="30"/>
          <w:szCs w:val="30"/>
        </w:rPr>
        <w:t xml:space="preserve">4. Versiones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2500"/>
        <w:gridCol w:w="2026"/>
        <w:gridCol w:w="1300"/>
      </w:tblGrid>
      <w:tr>
        <w:trPr>
          <w:tblHeader/>
        </w:trPr>
        <w:tc>
          <w:tcPr>
            <w:tcW w:type="dxa" w:w="3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0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Archivo</w:t>
            </w:r>
          </w:p>
        </w:tc>
        <w:tc>
          <w:tcPr>
            <w:tcW w:type="dxa" w:w="2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0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Versión</w:t>
            </w:r>
          </w:p>
        </w:tc>
        <w:tc>
          <w:tcPr>
            <w:tcW w:type="dxa" w:w="202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0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Corresponde a</w:t>
            </w:r>
          </w:p>
        </w:tc>
        <w:tc>
          <w:tcPr>
            <w:tcW w:type="dxa" w:w="1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0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Huella SHA-256 (12 primeros)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ley-de-ohm-interactiva.html</w:t>
            </w:r>
          </w:p>
        </w:tc>
        <w:tc>
          <w:tcPr>
            <w:tcW w:type="dxa" w:w="2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Actividad, versión 1.1 (2026-10-10)</w:t>
            </w:r>
          </w:p>
        </w:tc>
        <w:tc>
          <w:tcPr>
            <w:tcW w:type="dxa" w:w="202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Página que se muestra en la demostración</w:t>
            </w:r>
          </w:p>
        </w:tc>
        <w:tc>
          <w:tcPr>
            <w:tcW w:type="dxa" w:w="1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e09a14653aee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ley-de-ohm-scorm-v1.1.zip</w:t>
            </w:r>
          </w:p>
        </w:tc>
        <w:tc>
          <w:tcPr>
            <w:tcW w:type="dxa" w:w="2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Paquete SCORM 1.2, versión 1.1, con el mismo código (2026-10-10)</w:t>
            </w:r>
          </w:p>
        </w:tc>
        <w:tc>
          <w:tcPr>
            <w:tcW w:type="dxa" w:w="202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Importación en un LMS</w:t>
            </w:r>
          </w:p>
        </w:tc>
        <w:tc>
          <w:tcPr>
            <w:tcW w:type="dxa" w:w="1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790503200b0f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actividad_ley_de_ohm.zip</w:t>
            </w:r>
          </w:p>
        </w:tc>
        <w:tc>
          <w:tcPr>
            <w:tcW w:type="dxa" w:w="2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Carpeta de la actividad con modelo, ejemplos y accesibilidad (2026-10-10)</w:t>
            </w:r>
          </w:p>
        </w:tc>
        <w:tc>
          <w:tcPr>
            <w:tcW w:type="dxa" w:w="202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Evidencia y documentación del modelo</w:t>
            </w:r>
          </w:p>
        </w:tc>
        <w:tc>
          <w:tcPr>
            <w:tcW w:type="dxa" w:w="1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84447ca2859a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VC-2026-007-032_ProyectoFinal_ES.pptx</w:t>
            </w:r>
          </w:p>
        </w:tc>
        <w:tc>
          <w:tcPr>
            <w:tcW w:type="dxa" w:w="2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Presentación en español (2026-10-10)</w:t>
            </w:r>
          </w:p>
        </w:tc>
        <w:tc>
          <w:tcPr>
            <w:tcW w:type="dxa" w:w="202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Video en español</w:t>
            </w:r>
          </w:p>
        </w:tc>
        <w:tc>
          <w:tcPr>
            <w:tcW w:type="dxa" w:w="1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edf6a8911b8f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VC-2026-007-032_ProyectoFinal_EN.pptx</w:t>
            </w:r>
          </w:p>
        </w:tc>
        <w:tc>
          <w:tcPr>
            <w:tcW w:type="dxa" w:w="2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Presentación en inglés (2026-10-10)</w:t>
            </w:r>
          </w:p>
        </w:tc>
        <w:tc>
          <w:tcPr>
            <w:tcW w:type="dxa" w:w="202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Video en inglés</w:t>
            </w:r>
          </w:p>
        </w:tc>
        <w:tc>
          <w:tcPr>
            <w:tcW w:type="dxa" w:w="1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3f008e4b147b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VC-2026-007-032_ProyectoFinal_ES.mp4</w:t>
            </w:r>
          </w:p>
        </w:tc>
        <w:tc>
          <w:tcPr>
            <w:tcW w:type="dxa" w:w="2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Video en español, 4:39 (2026-10-10)</w:t>
            </w:r>
          </w:p>
        </w:tc>
        <w:tc>
          <w:tcPr>
            <w:tcW w:type="dxa" w:w="202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Narración ES</w:t>
            </w:r>
          </w:p>
        </w:tc>
        <w:tc>
          <w:tcPr>
            <w:tcW w:type="dxa" w:w="1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No aplica: ver duración y tamaño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VC-2026-007-032_ProyectoFinal_EN.mp4</w:t>
            </w:r>
          </w:p>
        </w:tc>
        <w:tc>
          <w:tcPr>
            <w:tcW w:type="dxa" w:w="2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Video en inglés, 4:41 (2026-10-10)</w:t>
            </w:r>
          </w:p>
        </w:tc>
        <w:tc>
          <w:tcPr>
            <w:tcW w:type="dxa" w:w="202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Narración EN</w:t>
            </w:r>
          </w:p>
        </w:tc>
        <w:tc>
          <w:tcPr>
            <w:tcW w:type="dxa" w:w="1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No aplica: ver duración y tamaño</w:t>
            </w:r>
          </w:p>
        </w:tc>
      </w:tr>
    </w:tbl>
    <w:p>
      <w:pPr>
        <w:spacing w:after="120" w:line="276"/>
      </w:pPr>
      <w:r>
        <w:rPr>
          <w:rFonts w:ascii="Calibri" w:cs="Calibri" w:eastAsia="Calibri" w:hAnsi="Calibri"/>
          <w:b/>
          <w:bCs/>
          <w:color w:val="1F2937"/>
          <w:sz w:val="20"/>
          <w:szCs w:val="20"/>
        </w:rPr>
        <w:t xml:space="preserve">Cambios de la versión 1.1 respecto a la anterior:</w:t>
      </w:r>
      <w:r>
        <w:rPr>
          <w:rFonts w:ascii="Calibri" w:cs="Calibri" w:eastAsia="Calibri" w:hAnsi="Calibri"/>
          <w:color w:val="1F2937"/>
          <w:sz w:val="20"/>
          <w:szCs w:val="20"/>
        </w:rPr>
        <w:t xml:space="preserve"> (1) la predicción se puntúa una sola vez, con el primer cálculo; (2) al cambiar de escenario, el foco del teclado permanece en el control elegido. Las ocho pruebas de código se repitieron con la versión 1.1 y las ocho se cumplen.</w:t>
      </w:r>
    </w:p>
    <w:p>
      <w:pPr>
        <w:spacing w:after="120" w:line="276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Las huellas permiten comprobar que el archivo publicado es el mismo que se describe aquí. En los videos no se usa huella porque al descargarlos o reempaquetarlos cambian unos bytes sin cambiar la imagen ni el audio; se comprueban por duración (4:39 y 4:41) y tamaño (unos 6,4 MB). Si un archivo cambia, cambia su huella y debe actualizarse esta tabla.</w:t>
      </w:r>
    </w:p>
    <w:p>
      <w:pPr>
        <w:pStyle w:val="Heading1"/>
        <w:spacing w:after="120" w:before="320"/>
      </w:pPr>
      <w:r>
        <w:rPr>
          <w:rFonts w:ascii="Calibri" w:cs="Calibri" w:eastAsia="Calibri" w:hAnsi="Calibri"/>
          <w:b/>
          <w:bCs/>
          <w:color w:val="4F46E5"/>
          <w:sz w:val="30"/>
          <w:szCs w:val="30"/>
        </w:rPr>
        <w:t xml:space="preserve">5. Alcance y declaración de uso de IA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Qué se puede concluir.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 Que el cálculo de la actividad es coherente con la fórmula de Ohm dentro de los rangos y del modelo indicados, según tres ejemplos hechos a mano y ocho pruebas de código. Que la actividad funciona en el navegador, también con teclado y en pantalla pequeña, según revisión propia de los autores, que no es una auditoría formal de accesibilidad.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Qué no se puede concluir.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 Que mejore el aprendizaje: ningún estudiante la ha probado todavía. Que sirva como instrumento de evaluación o que sea válida para investigación. Que funcione en un LMS real hasta que se adjunte la evidencia de esa prueba (LMS, fecha y captura). No se promete publicación ni reproducibilidad más allá de los archivos listados en la parte 4.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Uso de IA.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 Claude (Anthropic) redactó el código, los textos de la actividad, el guion, las presentaciones y esta nota, a partir de lo que los autores definieron. La voz de las narraciones fue generada con ElevenLabs y aparece declarada en la portada de cada presentación. Las capturas provienen de la propia actividad y no contienen datos personales. Una persona decide siempre si la actividad sirve para su clase.</w:t>
      </w:r>
    </w:p>
    <w:p>
      <w:pPr>
        <w:pStyle w:val="Heading1"/>
        <w:spacing w:after="120" w:before="320"/>
      </w:pPr>
      <w:r>
        <w:rPr>
          <w:rFonts w:ascii="Calibri" w:cs="Calibri" w:eastAsia="Calibri" w:hAnsi="Calibri"/>
          <w:b/>
          <w:bCs/>
          <w:color w:val="4F46E5"/>
          <w:sz w:val="30"/>
          <w:szCs w:val="30"/>
        </w:rPr>
        <w:t xml:space="preserve">6. Plan de mantenimiento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Rol responsable: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 mantenedor de la actividad. Jonnathan Chamba, quien aceptó el rol el 10 de octubre de 2026.</w:t>
      </w:r>
    </w:p>
    <w:p>
      <w:pPr>
        <w:spacing w:after="60" w:line="276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Cambios que activan una revisión: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Cualquier cambio en la fórmula, los rangos o el modelo de circuito.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Una actualización del navegador o del LMS que altere el comportamiento de la página o del registro SCORM.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Un error reportado por un estudiante o un docente.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Un cambio de herramienta de IA, de voz o de plantilla que modifique los archivos de la parte 4.</w:t>
      </w:r>
    </w:p>
    <w:p>
      <w:pPr>
        <w:spacing w:after="60" w:line="276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Si la actividad falla: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Detener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 el uso del resultado afectado y avisar a quienes lo usaron.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Conservar la evidencia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: la captura, el valor ingresado y la versión del archivo con su huella.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Revisar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 el caso contra el cálculo a mano y las pruebas de código.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Decidir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 si se corrige, se retira o se limita el uso, y actualizar la parte 4 con el nuevo archivo y su huella.</w:t>
      </w:r>
    </w:p>
    <w:sectPr>
      <w:footerReference w:type="default" r:id="rId7"/>
      <w:pgSz w:w="11906" w:h="16838" w:orient="portrait"/>
      <w:pgMar w:top="1200" w:right="1440" w:bottom="12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B6472"/>
        <w:sz w:val="18"/>
        <w:szCs w:val="18"/>
      </w:rPr>
      <w:t xml:space="preserve">VC-2026-007-032 · Nota metodológica · página </w:t>
    </w:r>
    <w:r>
      <w:rPr>
        <w:rFonts w:ascii="Calibri" w:cs="Calibri" w:eastAsia="Calibri" w:hAnsi="Calibri"/>
        <w:color w:val="5B6472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2026-10-11T00:18:49.063Z</dcterms:created>
  <dcterms:modified xsi:type="dcterms:W3CDTF">2026-10-11T00:18:49.066Z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